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F9" w:rsidRPr="008F21F9" w:rsidRDefault="008F21F9" w:rsidP="008F21F9">
      <w:pPr>
        <w:spacing w:after="0" w:line="276" w:lineRule="auto"/>
        <w:jc w:val="both"/>
        <w:outlineLvl w:val="0"/>
        <w:rPr>
          <w:rFonts w:ascii="Century Gothic" w:eastAsia="Times New Roman" w:hAnsi="Century Gothic" w:cs="Arial"/>
          <w:b/>
          <w:color w:val="634E42"/>
          <w:kern w:val="36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b/>
          <w:color w:val="634E42"/>
          <w:kern w:val="36"/>
          <w:sz w:val="24"/>
          <w:szCs w:val="24"/>
          <w:lang w:eastAsia="ru-RU"/>
        </w:rPr>
        <w:t>Курортный сбор</w:t>
      </w:r>
      <w:bookmarkStart w:id="0" w:name="_GoBack"/>
      <w:bookmarkEnd w:id="0"/>
    </w:p>
    <w:p w:rsidR="008F21F9" w:rsidRPr="008F21F9" w:rsidRDefault="008F21F9" w:rsidP="008F21F9">
      <w:pPr>
        <w:spacing w:after="0" w:line="276" w:lineRule="auto"/>
        <w:jc w:val="both"/>
        <w:outlineLvl w:val="0"/>
        <w:rPr>
          <w:rFonts w:ascii="Century Gothic" w:eastAsia="Times New Roman" w:hAnsi="Century Gothic" w:cs="Arial"/>
          <w:color w:val="634E42"/>
          <w:kern w:val="36"/>
          <w:sz w:val="24"/>
          <w:szCs w:val="24"/>
          <w:lang w:eastAsia="ru-RU"/>
        </w:rPr>
      </w:pPr>
    </w:p>
    <w:p w:rsidR="008F21F9" w:rsidRPr="008F21F9" w:rsidRDefault="008F21F9" w:rsidP="008F21F9">
      <w:pPr>
        <w:spacing w:after="0" w:line="276" w:lineRule="auto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В соответствии с Законом Краснодарского края «О введении сбора на территории Краснодарского каря и внесении изменений в закон Краснодарского края «Об административных правонарушениях» размер курортного сбора на территории эксперимента с одного физического лица, достигшего 18 лет, проживающего в объекте размещения более 24 часов, составляет 10 рублей в сутки.</w:t>
      </w:r>
    </w:p>
    <w:p w:rsidR="008F21F9" w:rsidRPr="008F21F9" w:rsidRDefault="008F21F9" w:rsidP="008F21F9">
      <w:pPr>
        <w:spacing w:after="225" w:line="276" w:lineRule="auto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Обязанность по уплате курортного сбора и освобождение от уплаты курортного сбора:</w:t>
      </w:r>
    </w:p>
    <w:p w:rsidR="008F21F9" w:rsidRPr="008F21F9" w:rsidRDefault="008F21F9" w:rsidP="008F21F9">
      <w:pPr>
        <w:numPr>
          <w:ilvl w:val="0"/>
          <w:numId w:val="1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Физические лица, достигшие 18 лет, планирующие проживать в объектах размещения более 24 часов, обязаны уплачивать курортный сбор при поселении в объект размещения.</w:t>
      </w:r>
    </w:p>
    <w:p w:rsidR="008F21F9" w:rsidRPr="008F21F9" w:rsidRDefault="008F21F9" w:rsidP="008F21F9">
      <w:pPr>
        <w:numPr>
          <w:ilvl w:val="0"/>
          <w:numId w:val="1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Категории лиц, освобожденные от уплаты курортного сбора на территории Краснодарского края, установлены частью 1 статьи 7 Федерального закона.</w:t>
      </w:r>
    </w:p>
    <w:p w:rsidR="008F21F9" w:rsidRPr="008F21F9" w:rsidRDefault="008F21F9" w:rsidP="008F21F9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На территории Краснодарского края от уплаты курортного сбора освобождены лица, имеющие место жительства на территории Краснодарского края.</w:t>
      </w:r>
    </w:p>
    <w:p w:rsidR="008F21F9" w:rsidRPr="008F21F9" w:rsidRDefault="008F21F9" w:rsidP="008F21F9">
      <w:pPr>
        <w:spacing w:line="276" w:lineRule="auto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Федеральный закон от 29.07.2017 № 214-ФЗ "О проведении эксперимента по развитию курортной инфраструктуры в Республики Крым, Алтайском крае, Краснодарском крае и Ставропольском крае"</w:t>
      </w:r>
    </w:p>
    <w:p w:rsidR="008F21F9" w:rsidRPr="008F21F9" w:rsidRDefault="008F21F9" w:rsidP="008F21F9">
      <w:pPr>
        <w:spacing w:line="276" w:lineRule="auto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От уплаты курортного сбора освобождаются: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лица, удостоенные званий Героя Советского Союза, Героя Российской Федерации или являющиеся полными кавалерами ордена Славы;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участники Великой Отечественной войны;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ветераны боевых действий из числа лиц, указанных в подпунктах 1 - 4 пункта 1 статьи 3 Федерального закона от 12 января 1995 года N 5-ФЗ "О ветеранах";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лица, награжденные знаком "Жителю блокадного Ленинграда";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</w:t>
      </w: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lastRenderedPageBreak/>
        <w:t>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инвалиды войны;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инвалиды I и II групп;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лица, сопровождающие инвалидов I группы и детей-инвалидов в соответствии с Федеральным законом от 17 июля 1999 года N 178-ФЗ "О государственной социальной помощи";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малоимущие семьи, малоимущие одиноко проживающие граждане и иные категории граждан, предусмотренные Федеральным законом от 17 июля 1999 года N 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больные туберкулезом;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lastRenderedPageBreak/>
        <w:t>лица в возрасте до 24 лет, обучающиеся по очной форме обучения в образовательных организациях, расположенных на территории эксперимента;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лица, постоянно работающие на территории эксперимента на основании трудового договора или служебного контракта;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лица, имеющие место жительства на территории эксперимента;</w:t>
      </w:r>
    </w:p>
    <w:p w:rsidR="008F21F9" w:rsidRPr="008F21F9" w:rsidRDefault="008F21F9" w:rsidP="008F21F9">
      <w:pPr>
        <w:numPr>
          <w:ilvl w:val="0"/>
          <w:numId w:val="2"/>
        </w:numPr>
        <w:spacing w:before="100" w:beforeAutospacing="1" w:after="30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</w:p>
    <w:p w:rsidR="008F21F9" w:rsidRPr="008F21F9" w:rsidRDefault="008F21F9" w:rsidP="008F21F9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спортсмены, тренеры, спортивные судьи, а также иные специалисты в области физической культуры и спорта, прибывшие для участия в официальных спортивных мероприятиях на территорию эксперимента.</w:t>
      </w:r>
    </w:p>
    <w:p w:rsidR="008F21F9" w:rsidRPr="008F21F9" w:rsidRDefault="008F21F9" w:rsidP="008F21F9">
      <w:pPr>
        <w:spacing w:after="225" w:line="276" w:lineRule="auto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Субъекты Российской Федерации вправе установить законом субъекта Российской Федерации иные категории лиц, освобождаемые от уплаты курортного сбора, с учетом предложений муниципальных образований, указанных в пункте 2 части 3 статьи 4 настоящего Федерального закона.</w:t>
      </w:r>
    </w:p>
    <w:p w:rsidR="008F21F9" w:rsidRPr="008F21F9" w:rsidRDefault="008F21F9" w:rsidP="008F21F9">
      <w:pPr>
        <w:spacing w:after="225" w:line="276" w:lineRule="auto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Освобождение от уплаты курортного сбора осуществляется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порядке. Освобождение от уплаты курортного сбора лиц, указанных в пункте 11 части 1 настоящей статьи, также может осуществляться на основании письменного заявления сопровождаемого лица или его законного представителя.</w:t>
      </w:r>
    </w:p>
    <w:p w:rsidR="008F21F9" w:rsidRPr="008F21F9" w:rsidRDefault="008F21F9" w:rsidP="008F21F9">
      <w:pPr>
        <w:spacing w:after="225" w:line="276" w:lineRule="auto"/>
        <w:jc w:val="both"/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</w:pPr>
      <w:hyperlink r:id="rId5" w:tgtFrame="_blank" w:history="1">
        <w:r w:rsidRPr="008F21F9">
          <w:rPr>
            <w:rFonts w:ascii="Century Gothic" w:eastAsia="Times New Roman" w:hAnsi="Century Gothic" w:cs="Arial"/>
            <w:color w:val="634E42"/>
            <w:sz w:val="24"/>
            <w:szCs w:val="24"/>
            <w:u w:val="single"/>
            <w:lang w:eastAsia="ru-RU"/>
          </w:rPr>
          <w:t>Официальный источник Министерство курортов, туризма и олимпийского наследия</w:t>
        </w:r>
      </w:hyperlink>
      <w:r w:rsidRPr="008F21F9">
        <w:rPr>
          <w:rFonts w:ascii="Century Gothic" w:eastAsia="Times New Roman" w:hAnsi="Century Gothic" w:cs="Arial"/>
          <w:color w:val="634E42"/>
          <w:sz w:val="24"/>
          <w:szCs w:val="24"/>
          <w:lang w:eastAsia="ru-RU"/>
        </w:rPr>
        <w:t>.</w:t>
      </w:r>
    </w:p>
    <w:p w:rsidR="009F4DC8" w:rsidRDefault="009F4DC8"/>
    <w:sectPr w:rsidR="009F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93C4B"/>
    <w:multiLevelType w:val="multilevel"/>
    <w:tmpl w:val="764C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D54090"/>
    <w:multiLevelType w:val="multilevel"/>
    <w:tmpl w:val="1D7A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C9"/>
    <w:rsid w:val="008F21F9"/>
    <w:rsid w:val="009F4DC8"/>
    <w:rsid w:val="00B5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1998A-18B4-4D46-9ABB-53C36D74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2376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00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.kurortkuban.ru/deyatelnost/kurortnyiy-s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Уразовская Екатерина Дмитриевна</dc:creator>
  <cp:keywords/>
  <dc:description/>
  <cp:lastModifiedBy>Уразовская Екатерина Дмитриевна</cp:lastModifiedBy>
  <cp:revision>3</cp:revision>
  <cp:lastPrinted>2020-09-17T07:55:00Z</cp:lastPrinted>
  <dcterms:created xsi:type="dcterms:W3CDTF">2020-09-17T07:51:00Z</dcterms:created>
  <dcterms:modified xsi:type="dcterms:W3CDTF">2020-09-17T07:55:00Z</dcterms:modified>
</cp:coreProperties>
</file>